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7834" w14:textId="757F029E" w:rsidR="00033968" w:rsidRPr="00033968" w:rsidRDefault="00033968" w:rsidP="00033968">
      <w:pPr>
        <w:ind w:firstLineChars="0" w:firstLine="0"/>
        <w:jc w:val="center"/>
        <w:rPr>
          <w:rFonts w:hint="eastAsia"/>
        </w:rPr>
      </w:pPr>
      <w:r w:rsidRPr="00033968">
        <w:rPr>
          <w:rFonts w:hint="eastAsia"/>
        </w:rPr>
        <w:t>2025</w:t>
      </w:r>
      <w:r w:rsidRPr="00033968">
        <w:rPr>
          <w:rFonts w:hint="eastAsia"/>
        </w:rPr>
        <w:t>年中央财政强农惠农富农政策清单（农业农村部）</w:t>
      </w:r>
    </w:p>
    <w:p w14:paraId="432ABD2A" w14:textId="08368DD9" w:rsidR="00033968" w:rsidRPr="00033968" w:rsidRDefault="00033968" w:rsidP="00033968">
      <w:pPr>
        <w:ind w:firstLine="420"/>
      </w:pPr>
      <w:r w:rsidRPr="00033968">
        <w:rPr>
          <w:rFonts w:hint="eastAsia"/>
        </w:rPr>
        <w:t>为便于广大农民和农业生产经营主体以及社会各界了解国家强农惠农富农政策，充分发挥政策引导作用，现将</w:t>
      </w:r>
      <w:r w:rsidRPr="00033968">
        <w:rPr>
          <w:rFonts w:hint="eastAsia"/>
        </w:rPr>
        <w:t>2025</w:t>
      </w:r>
      <w:r w:rsidRPr="00033968">
        <w:rPr>
          <w:rFonts w:hint="eastAsia"/>
        </w:rPr>
        <w:t>年稳定实施的中央财政到人到户农业补贴政策发布如下。</w:t>
      </w:r>
    </w:p>
    <w:p w14:paraId="59A7C16F" w14:textId="79F35CA8" w:rsidR="00033968" w:rsidRPr="00033968" w:rsidRDefault="00033968" w:rsidP="00033968">
      <w:pPr>
        <w:ind w:firstLine="422"/>
        <w:rPr>
          <w:rFonts w:hint="eastAsia"/>
        </w:rPr>
      </w:pPr>
      <w:r w:rsidRPr="00033968">
        <w:rPr>
          <w:rFonts w:hint="eastAsia"/>
          <w:b/>
          <w:bCs/>
        </w:rPr>
        <w:t>一、耕地地力保护补贴。</w:t>
      </w:r>
      <w:r w:rsidRPr="00033968">
        <w:rPr>
          <w:rFonts w:hint="eastAsia"/>
        </w:rPr>
        <w:t>补贴对象原则上为拥有耕地承包权的种地农民，具体补贴依据由各省级人民政府结合实际确定，补贴资金通过“一卡通”或“一折通”等方式直接兑现到户。对已作为畜牧养殖场使用的耕地、林地、草地、成片粮田转为设施农业用地的耕地、非农业征（占）用耕地等已改变用途的耕地不得再给予补贴，对抛荒一年以上的，取消次年补贴资格。</w:t>
      </w:r>
    </w:p>
    <w:p w14:paraId="13B49C9D" w14:textId="1CB22A64" w:rsidR="00033968" w:rsidRPr="00033968" w:rsidRDefault="00033968" w:rsidP="00033968">
      <w:pPr>
        <w:ind w:firstLine="422"/>
        <w:rPr>
          <w:rFonts w:hint="eastAsia"/>
        </w:rPr>
      </w:pPr>
      <w:r w:rsidRPr="00033968">
        <w:rPr>
          <w:rFonts w:hint="eastAsia"/>
          <w:b/>
          <w:bCs/>
        </w:rPr>
        <w:t>二、农机购置与应用补贴。</w:t>
      </w:r>
      <w:r w:rsidRPr="00033968">
        <w:rPr>
          <w:rFonts w:hint="eastAsia"/>
        </w:rPr>
        <w:t>补贴对象为从事农业生产的农民和农业生产经营组织，实施方式为“自主购机、定额补贴、先购后补、县级结算、直补到卡（户）”。重点支持高性能播种机、智能高速插秧机、大型智能高端联合收获机械等有助于粮油等主要作物大面积单产提升、丘陵山区农业生产急需、农机装备补短板、农业其他领域发展急需等农业机械的推广应用。</w:t>
      </w:r>
    </w:p>
    <w:p w14:paraId="12E8EBFC" w14:textId="174F38D2" w:rsidR="00033968" w:rsidRPr="00033968" w:rsidRDefault="00033968" w:rsidP="00033968">
      <w:pPr>
        <w:ind w:firstLine="422"/>
        <w:rPr>
          <w:rFonts w:hint="eastAsia"/>
        </w:rPr>
      </w:pPr>
      <w:r w:rsidRPr="00033968">
        <w:rPr>
          <w:rFonts w:hint="eastAsia"/>
          <w:b/>
          <w:bCs/>
        </w:rPr>
        <w:t>三、小麦“一喷三防”补助。</w:t>
      </w:r>
      <w:r w:rsidRPr="00033968">
        <w:rPr>
          <w:rFonts w:hint="eastAsia"/>
        </w:rPr>
        <w:t>补助对象为承担实施小麦“一喷三防”任务的主体。鼓励各地充分发挥社会化服务组织、新型农业经营主体等作用。补助资金主要用于在小麦生产中后期混合使用杀虫剂、杀菌剂、植物生长调节剂，促进保大穗、增粒重、提单产。</w:t>
      </w:r>
    </w:p>
    <w:p w14:paraId="0CB1D7D3" w14:textId="53E814CD" w:rsidR="00033968" w:rsidRPr="00033968" w:rsidRDefault="00033968" w:rsidP="00033968">
      <w:pPr>
        <w:ind w:firstLine="422"/>
        <w:rPr>
          <w:rFonts w:hint="eastAsia"/>
        </w:rPr>
      </w:pPr>
      <w:r w:rsidRPr="00033968">
        <w:rPr>
          <w:rFonts w:hint="eastAsia"/>
          <w:b/>
          <w:bCs/>
        </w:rPr>
        <w:t>四、大豆玉米带状复合种植补助。</w:t>
      </w:r>
      <w:r w:rsidRPr="00033968">
        <w:rPr>
          <w:rFonts w:hint="eastAsia"/>
        </w:rPr>
        <w:t>补助对象为承担大豆玉米带状复合种植任务的种植主体，鼓励引导规模种植户承担相关任务，促进加快大豆玉米带状复合种植技术本土化、熟化进程。补助资金主要用于适当弥补承担示范任务的农民或新型农业经营主体增加的播种、施肥、打药、收获等环节成本。</w:t>
      </w:r>
    </w:p>
    <w:p w14:paraId="1DB172C0" w14:textId="11C57ABD" w:rsidR="00033968" w:rsidRPr="00033968" w:rsidRDefault="00033968" w:rsidP="00033968">
      <w:pPr>
        <w:ind w:firstLine="422"/>
        <w:rPr>
          <w:rFonts w:hint="eastAsia"/>
        </w:rPr>
      </w:pPr>
      <w:r w:rsidRPr="00033968">
        <w:rPr>
          <w:rFonts w:hint="eastAsia"/>
          <w:b/>
          <w:bCs/>
        </w:rPr>
        <w:t>五、玉米大豆生产者补贴和稻谷补贴。</w:t>
      </w:r>
      <w:r w:rsidRPr="00033968">
        <w:rPr>
          <w:rFonts w:hint="eastAsia"/>
        </w:rPr>
        <w:t>继续在东北地区实施玉米和大豆生产者补贴，在稻谷主产省实施稻谷补贴，保障国家粮食安全。</w:t>
      </w:r>
    </w:p>
    <w:p w14:paraId="3B8BF2F6" w14:textId="3B70D73C" w:rsidR="00033968" w:rsidRPr="00033968" w:rsidRDefault="00033968" w:rsidP="00033968">
      <w:pPr>
        <w:ind w:firstLine="422"/>
        <w:rPr>
          <w:rFonts w:hint="eastAsia"/>
        </w:rPr>
      </w:pPr>
      <w:r w:rsidRPr="00033968">
        <w:rPr>
          <w:rFonts w:hint="eastAsia"/>
          <w:b/>
          <w:bCs/>
        </w:rPr>
        <w:t>六、耕地轮作休耕补助。</w:t>
      </w:r>
      <w:r w:rsidRPr="00033968">
        <w:rPr>
          <w:rFonts w:hint="eastAsia"/>
        </w:rPr>
        <w:t>补助对象为承担耕地轮作休耕任务的种植主体。重点支持在东北地区实施玉米大豆轮作，在黄淮海地区实施小麦玉米和小麦大豆（花生）年际轮作，在北方农牧交错区和新疆次宜棉区推广棉花、玉米等与花生、大豆轮作或间套作，扩大大豆和油料面积。继续在河北地下水漏斗区、新疆塔里木河流域地下水超采区等地实施休耕试点。</w:t>
      </w:r>
    </w:p>
    <w:p w14:paraId="02F49E96" w14:textId="4B605A56" w:rsidR="00033968" w:rsidRPr="00033968" w:rsidRDefault="00033968" w:rsidP="00033968">
      <w:pPr>
        <w:ind w:firstLine="422"/>
        <w:rPr>
          <w:rFonts w:hint="eastAsia"/>
        </w:rPr>
      </w:pPr>
      <w:r w:rsidRPr="00033968">
        <w:rPr>
          <w:rFonts w:hint="eastAsia"/>
          <w:b/>
          <w:bCs/>
        </w:rPr>
        <w:t>七、农业社会化服务补助。</w:t>
      </w:r>
      <w:r w:rsidRPr="00033968">
        <w:rPr>
          <w:rFonts w:hint="eastAsia"/>
        </w:rPr>
        <w:t>补助对象为符合条件的农民合作社、家庭农场、农业服务公司、服务专业户、农村集体经济组织、供销合作社等主体。支持各类服务主体提供专业化、便利化服务，将粮油等主要作物大面积单产提升等先进适用技术作为重点内容，推广应用集成配套的综合性解决方案，促进高产高质、节本减损；关键环节、单环节服务补助重点聚焦粮食精量播种等急需破解的短板制约环节。</w:t>
      </w:r>
    </w:p>
    <w:p w14:paraId="7D74A473" w14:textId="45DC492D" w:rsidR="00033968" w:rsidRPr="00033968" w:rsidRDefault="00033968" w:rsidP="00033968">
      <w:pPr>
        <w:ind w:firstLine="422"/>
        <w:rPr>
          <w:rFonts w:hint="eastAsia"/>
        </w:rPr>
      </w:pPr>
      <w:r w:rsidRPr="00033968">
        <w:rPr>
          <w:rFonts w:hint="eastAsia"/>
          <w:b/>
          <w:bCs/>
        </w:rPr>
        <w:t>八、草原禁牧补助与草畜平衡奖励。</w:t>
      </w:r>
      <w:r w:rsidRPr="00033968">
        <w:rPr>
          <w:rFonts w:hint="eastAsia"/>
        </w:rPr>
        <w:t>继续在</w:t>
      </w:r>
      <w:r w:rsidRPr="00033968">
        <w:rPr>
          <w:rFonts w:hint="eastAsia"/>
        </w:rPr>
        <w:t>13</w:t>
      </w:r>
      <w:r w:rsidRPr="00033968">
        <w:rPr>
          <w:rFonts w:hint="eastAsia"/>
        </w:rPr>
        <w:t>个牧区省份以及新疆生产建设兵团和北大荒农垦集团有限公司实施草原禁牧补助与草畜平衡奖励。资金主要用于支持实施草原禁牧、推动草畜平衡，河北、陕西等</w:t>
      </w:r>
      <w:r w:rsidRPr="00033968">
        <w:rPr>
          <w:rFonts w:hint="eastAsia"/>
        </w:rPr>
        <w:t>5</w:t>
      </w:r>
      <w:r w:rsidRPr="00033968">
        <w:rPr>
          <w:rFonts w:hint="eastAsia"/>
        </w:rPr>
        <w:t>省和北大荒农垦集团有限公司可用于推动生产转型，提高草原畜牧业现代化水平。对农牧民的补助奖励资金，通过“一卡通”或“一折通”等方式发放给农牧民。</w:t>
      </w:r>
    </w:p>
    <w:p w14:paraId="7ED5C650" w14:textId="5990DA2D" w:rsidR="00033968" w:rsidRPr="00033968" w:rsidRDefault="00033968" w:rsidP="00033968">
      <w:pPr>
        <w:ind w:firstLine="422"/>
        <w:rPr>
          <w:rFonts w:hint="eastAsia"/>
        </w:rPr>
      </w:pPr>
      <w:r w:rsidRPr="00033968">
        <w:rPr>
          <w:rFonts w:hint="eastAsia"/>
          <w:b/>
          <w:bCs/>
        </w:rPr>
        <w:t>九、农业保险保费补贴。</w:t>
      </w:r>
      <w:r w:rsidRPr="00033968">
        <w:rPr>
          <w:rFonts w:hint="eastAsia"/>
        </w:rPr>
        <w:t>中央财政继续为种植、养殖、森林三大类</w:t>
      </w:r>
      <w:r w:rsidRPr="00033968">
        <w:rPr>
          <w:rFonts w:hint="eastAsia"/>
        </w:rPr>
        <w:t>16</w:t>
      </w:r>
      <w:r w:rsidRPr="00033968">
        <w:rPr>
          <w:rFonts w:hint="eastAsia"/>
        </w:rPr>
        <w:t>个大宗农产品提供农业保险保费补贴，包括稻谷、小麦、玉米、棉花、马铃薯、油料作物、糖料作物、天然橡胶、三大粮食作物制种、能繁母猪、育肥猪、奶牛、公益林和商品林、青稞、牦牛、藏系羊。补贴比例为：中央财政在省级财政补贴不低于</w:t>
      </w:r>
      <w:r w:rsidRPr="00033968">
        <w:rPr>
          <w:rFonts w:hint="eastAsia"/>
        </w:rPr>
        <w:t xml:space="preserve"> 25% </w:t>
      </w:r>
      <w:r w:rsidRPr="00033968">
        <w:rPr>
          <w:rFonts w:hint="eastAsia"/>
        </w:rPr>
        <w:t>的基础上，区分东部地区、中西部和东北地区，对种植业保险分别提供</w:t>
      </w:r>
      <w:r w:rsidRPr="00033968">
        <w:rPr>
          <w:rFonts w:hint="eastAsia"/>
        </w:rPr>
        <w:t xml:space="preserve"> 35%</w:t>
      </w:r>
      <w:r w:rsidRPr="00033968">
        <w:rPr>
          <w:rFonts w:hint="eastAsia"/>
        </w:rPr>
        <w:t>、</w:t>
      </w:r>
      <w:r w:rsidRPr="00033968">
        <w:rPr>
          <w:rFonts w:hint="eastAsia"/>
        </w:rPr>
        <w:t xml:space="preserve">45% </w:t>
      </w:r>
      <w:r w:rsidRPr="00033968">
        <w:rPr>
          <w:rFonts w:hint="eastAsia"/>
        </w:rPr>
        <w:t>的补贴，对养殖业保险分别提供</w:t>
      </w:r>
      <w:r w:rsidRPr="00033968">
        <w:rPr>
          <w:rFonts w:hint="eastAsia"/>
        </w:rPr>
        <w:t xml:space="preserve"> 40%</w:t>
      </w:r>
      <w:r w:rsidRPr="00033968">
        <w:rPr>
          <w:rFonts w:hint="eastAsia"/>
        </w:rPr>
        <w:t>、</w:t>
      </w:r>
      <w:r w:rsidRPr="00033968">
        <w:rPr>
          <w:rFonts w:hint="eastAsia"/>
        </w:rPr>
        <w:t>50%</w:t>
      </w:r>
      <w:r w:rsidRPr="00033968">
        <w:rPr>
          <w:rFonts w:hint="eastAsia"/>
        </w:rPr>
        <w:t>的补贴。稻谷、小麦、玉米三大粮食作物完全成本保险和种植收入保险政策在全国全面实施，大豆完全成本保险和种植收入保险政策覆盖各省、自治区、直辖市和计划单列市。此外，中央财政每年安排一定规模资金，对地方优势特色农产品保险，通过以奖代补政策给予支持。</w:t>
      </w:r>
    </w:p>
    <w:p w14:paraId="6A25E99D" w14:textId="7EF5F168" w:rsidR="00033968" w:rsidRPr="00033968" w:rsidRDefault="00033968" w:rsidP="00033968">
      <w:pPr>
        <w:ind w:firstLine="420"/>
        <w:rPr>
          <w:rFonts w:hint="eastAsia"/>
        </w:rPr>
      </w:pPr>
      <w:r w:rsidRPr="00033968">
        <w:rPr>
          <w:rFonts w:hint="eastAsia"/>
        </w:rPr>
        <w:lastRenderedPageBreak/>
        <w:t>上述政策，中央财政资金按照规定因素测算分配到省，由省级按要求结合地方实际组织基层细化补贴范围、支持对象和补贴标准。</w:t>
      </w:r>
    </w:p>
    <w:p w14:paraId="7BAC93CE" w14:textId="77777777" w:rsidR="00F96EBC" w:rsidRPr="00033968" w:rsidRDefault="00F96EBC">
      <w:pPr>
        <w:ind w:firstLine="420"/>
      </w:pPr>
    </w:p>
    <w:sectPr w:rsidR="00F96EBC" w:rsidRPr="00033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68"/>
    <w:rsid w:val="00033968"/>
    <w:rsid w:val="003E263E"/>
    <w:rsid w:val="00734C6F"/>
    <w:rsid w:val="0075526D"/>
    <w:rsid w:val="008257CF"/>
    <w:rsid w:val="0088299E"/>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613"/>
  <w15:chartTrackingRefBased/>
  <w15:docId w15:val="{BE1AE859-FE73-4E28-BF34-598AF039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968"/>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03396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3396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3396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3396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3396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3396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3396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96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3396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96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3396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3396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33968"/>
    <w:rPr>
      <w:rFonts w:cstheme="majorBidi"/>
      <w:color w:val="0F4761" w:themeColor="accent1" w:themeShade="BF"/>
      <w:sz w:val="28"/>
      <w:szCs w:val="28"/>
    </w:rPr>
  </w:style>
  <w:style w:type="character" w:customStyle="1" w:styleId="50">
    <w:name w:val="标题 5 字符"/>
    <w:basedOn w:val="a0"/>
    <w:link w:val="5"/>
    <w:uiPriority w:val="9"/>
    <w:semiHidden/>
    <w:rsid w:val="00033968"/>
    <w:rPr>
      <w:rFonts w:cstheme="majorBidi"/>
      <w:color w:val="0F4761" w:themeColor="accent1" w:themeShade="BF"/>
      <w:sz w:val="24"/>
      <w:szCs w:val="24"/>
    </w:rPr>
  </w:style>
  <w:style w:type="character" w:customStyle="1" w:styleId="60">
    <w:name w:val="标题 6 字符"/>
    <w:basedOn w:val="a0"/>
    <w:link w:val="6"/>
    <w:uiPriority w:val="9"/>
    <w:semiHidden/>
    <w:rsid w:val="00033968"/>
    <w:rPr>
      <w:rFonts w:cstheme="majorBidi"/>
      <w:b/>
      <w:bCs/>
      <w:color w:val="0F4761" w:themeColor="accent1" w:themeShade="BF"/>
    </w:rPr>
  </w:style>
  <w:style w:type="character" w:customStyle="1" w:styleId="70">
    <w:name w:val="标题 7 字符"/>
    <w:basedOn w:val="a0"/>
    <w:link w:val="7"/>
    <w:uiPriority w:val="9"/>
    <w:semiHidden/>
    <w:rsid w:val="00033968"/>
    <w:rPr>
      <w:rFonts w:cstheme="majorBidi"/>
      <w:b/>
      <w:bCs/>
      <w:color w:val="595959" w:themeColor="text1" w:themeTint="A6"/>
    </w:rPr>
  </w:style>
  <w:style w:type="character" w:customStyle="1" w:styleId="80">
    <w:name w:val="标题 8 字符"/>
    <w:basedOn w:val="a0"/>
    <w:link w:val="8"/>
    <w:uiPriority w:val="9"/>
    <w:semiHidden/>
    <w:rsid w:val="00033968"/>
    <w:rPr>
      <w:rFonts w:cstheme="majorBidi"/>
      <w:color w:val="595959" w:themeColor="text1" w:themeTint="A6"/>
    </w:rPr>
  </w:style>
  <w:style w:type="character" w:customStyle="1" w:styleId="90">
    <w:name w:val="标题 9 字符"/>
    <w:basedOn w:val="a0"/>
    <w:link w:val="9"/>
    <w:uiPriority w:val="9"/>
    <w:semiHidden/>
    <w:rsid w:val="00033968"/>
    <w:rPr>
      <w:rFonts w:eastAsiaTheme="majorEastAsia" w:cstheme="majorBidi"/>
      <w:color w:val="595959" w:themeColor="text1" w:themeTint="A6"/>
    </w:rPr>
  </w:style>
  <w:style w:type="paragraph" w:styleId="a3">
    <w:name w:val="Title"/>
    <w:basedOn w:val="a"/>
    <w:next w:val="a"/>
    <w:link w:val="a4"/>
    <w:uiPriority w:val="10"/>
    <w:qFormat/>
    <w:rsid w:val="000339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9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968"/>
    <w:pPr>
      <w:spacing w:before="160" w:after="160"/>
      <w:jc w:val="center"/>
    </w:pPr>
    <w:rPr>
      <w:i/>
      <w:iCs/>
      <w:color w:val="404040" w:themeColor="text1" w:themeTint="BF"/>
    </w:rPr>
  </w:style>
  <w:style w:type="character" w:customStyle="1" w:styleId="a8">
    <w:name w:val="引用 字符"/>
    <w:basedOn w:val="a0"/>
    <w:link w:val="a7"/>
    <w:uiPriority w:val="29"/>
    <w:rsid w:val="00033968"/>
    <w:rPr>
      <w:i/>
      <w:iCs/>
      <w:color w:val="404040" w:themeColor="text1" w:themeTint="BF"/>
    </w:rPr>
  </w:style>
  <w:style w:type="paragraph" w:styleId="a9">
    <w:name w:val="List Paragraph"/>
    <w:basedOn w:val="a"/>
    <w:uiPriority w:val="34"/>
    <w:qFormat/>
    <w:rsid w:val="00033968"/>
    <w:pPr>
      <w:ind w:left="720"/>
      <w:contextualSpacing/>
    </w:pPr>
  </w:style>
  <w:style w:type="character" w:styleId="aa">
    <w:name w:val="Intense Emphasis"/>
    <w:basedOn w:val="a0"/>
    <w:uiPriority w:val="21"/>
    <w:qFormat/>
    <w:rsid w:val="00033968"/>
    <w:rPr>
      <w:i/>
      <w:iCs/>
      <w:color w:val="0F4761" w:themeColor="accent1" w:themeShade="BF"/>
    </w:rPr>
  </w:style>
  <w:style w:type="paragraph" w:styleId="ab">
    <w:name w:val="Intense Quote"/>
    <w:basedOn w:val="a"/>
    <w:next w:val="a"/>
    <w:link w:val="ac"/>
    <w:uiPriority w:val="30"/>
    <w:qFormat/>
    <w:rsid w:val="0003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33968"/>
    <w:rPr>
      <w:i/>
      <w:iCs/>
      <w:color w:val="0F4761" w:themeColor="accent1" w:themeShade="BF"/>
    </w:rPr>
  </w:style>
  <w:style w:type="character" w:styleId="ad">
    <w:name w:val="Intense Reference"/>
    <w:basedOn w:val="a0"/>
    <w:uiPriority w:val="32"/>
    <w:qFormat/>
    <w:rsid w:val="000339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60028">
      <w:bodyDiv w:val="1"/>
      <w:marLeft w:val="0"/>
      <w:marRight w:val="0"/>
      <w:marTop w:val="0"/>
      <w:marBottom w:val="0"/>
      <w:divBdr>
        <w:top w:val="none" w:sz="0" w:space="0" w:color="auto"/>
        <w:left w:val="none" w:sz="0" w:space="0" w:color="auto"/>
        <w:bottom w:val="none" w:sz="0" w:space="0" w:color="auto"/>
        <w:right w:val="none" w:sz="0" w:space="0" w:color="auto"/>
      </w:divBdr>
      <w:divsChild>
        <w:div w:id="85075710">
          <w:marLeft w:val="0"/>
          <w:marRight w:val="0"/>
          <w:marTop w:val="75"/>
          <w:marBottom w:val="75"/>
          <w:divBdr>
            <w:top w:val="none" w:sz="0" w:space="0" w:color="auto"/>
            <w:left w:val="none" w:sz="0" w:space="0" w:color="auto"/>
            <w:bottom w:val="none" w:sz="0" w:space="0" w:color="auto"/>
            <w:right w:val="none" w:sz="0" w:space="0" w:color="auto"/>
          </w:divBdr>
        </w:div>
        <w:div w:id="2023362572">
          <w:marLeft w:val="0"/>
          <w:marRight w:val="0"/>
          <w:marTop w:val="75"/>
          <w:marBottom w:val="75"/>
          <w:divBdr>
            <w:top w:val="none" w:sz="0" w:space="0" w:color="auto"/>
            <w:left w:val="none" w:sz="0" w:space="0" w:color="auto"/>
            <w:bottom w:val="none" w:sz="0" w:space="0" w:color="auto"/>
            <w:right w:val="none" w:sz="0" w:space="0" w:color="auto"/>
          </w:divBdr>
        </w:div>
        <w:div w:id="694965957">
          <w:marLeft w:val="0"/>
          <w:marRight w:val="0"/>
          <w:marTop w:val="75"/>
          <w:marBottom w:val="75"/>
          <w:divBdr>
            <w:top w:val="none" w:sz="0" w:space="0" w:color="auto"/>
            <w:left w:val="none" w:sz="0" w:space="0" w:color="auto"/>
            <w:bottom w:val="none" w:sz="0" w:space="0" w:color="auto"/>
            <w:right w:val="none" w:sz="0" w:space="0" w:color="auto"/>
          </w:divBdr>
        </w:div>
        <w:div w:id="1668243683">
          <w:marLeft w:val="0"/>
          <w:marRight w:val="0"/>
          <w:marTop w:val="75"/>
          <w:marBottom w:val="75"/>
          <w:divBdr>
            <w:top w:val="none" w:sz="0" w:space="0" w:color="auto"/>
            <w:left w:val="none" w:sz="0" w:space="0" w:color="auto"/>
            <w:bottom w:val="none" w:sz="0" w:space="0" w:color="auto"/>
            <w:right w:val="none" w:sz="0" w:space="0" w:color="auto"/>
          </w:divBdr>
        </w:div>
        <w:div w:id="447506588">
          <w:marLeft w:val="0"/>
          <w:marRight w:val="0"/>
          <w:marTop w:val="75"/>
          <w:marBottom w:val="75"/>
          <w:divBdr>
            <w:top w:val="none" w:sz="0" w:space="0" w:color="auto"/>
            <w:left w:val="none" w:sz="0" w:space="0" w:color="auto"/>
            <w:bottom w:val="none" w:sz="0" w:space="0" w:color="auto"/>
            <w:right w:val="none" w:sz="0" w:space="0" w:color="auto"/>
          </w:divBdr>
        </w:div>
        <w:div w:id="1487017331">
          <w:marLeft w:val="0"/>
          <w:marRight w:val="0"/>
          <w:marTop w:val="75"/>
          <w:marBottom w:val="75"/>
          <w:divBdr>
            <w:top w:val="none" w:sz="0" w:space="0" w:color="auto"/>
            <w:left w:val="none" w:sz="0" w:space="0" w:color="auto"/>
            <w:bottom w:val="none" w:sz="0" w:space="0" w:color="auto"/>
            <w:right w:val="none" w:sz="0" w:space="0" w:color="auto"/>
          </w:divBdr>
        </w:div>
        <w:div w:id="1644114205">
          <w:marLeft w:val="0"/>
          <w:marRight w:val="0"/>
          <w:marTop w:val="75"/>
          <w:marBottom w:val="75"/>
          <w:divBdr>
            <w:top w:val="none" w:sz="0" w:space="0" w:color="auto"/>
            <w:left w:val="none" w:sz="0" w:space="0" w:color="auto"/>
            <w:bottom w:val="none" w:sz="0" w:space="0" w:color="auto"/>
            <w:right w:val="none" w:sz="0" w:space="0" w:color="auto"/>
          </w:divBdr>
        </w:div>
        <w:div w:id="1181241319">
          <w:marLeft w:val="0"/>
          <w:marRight w:val="0"/>
          <w:marTop w:val="75"/>
          <w:marBottom w:val="75"/>
          <w:divBdr>
            <w:top w:val="none" w:sz="0" w:space="0" w:color="auto"/>
            <w:left w:val="none" w:sz="0" w:space="0" w:color="auto"/>
            <w:bottom w:val="none" w:sz="0" w:space="0" w:color="auto"/>
            <w:right w:val="none" w:sz="0" w:space="0" w:color="auto"/>
          </w:divBdr>
        </w:div>
        <w:div w:id="1761221095">
          <w:marLeft w:val="0"/>
          <w:marRight w:val="0"/>
          <w:marTop w:val="75"/>
          <w:marBottom w:val="75"/>
          <w:divBdr>
            <w:top w:val="none" w:sz="0" w:space="0" w:color="auto"/>
            <w:left w:val="none" w:sz="0" w:space="0" w:color="auto"/>
            <w:bottom w:val="none" w:sz="0" w:space="0" w:color="auto"/>
            <w:right w:val="none" w:sz="0" w:space="0" w:color="auto"/>
          </w:divBdr>
        </w:div>
        <w:div w:id="1207986450">
          <w:marLeft w:val="0"/>
          <w:marRight w:val="0"/>
          <w:marTop w:val="75"/>
          <w:marBottom w:val="75"/>
          <w:divBdr>
            <w:top w:val="none" w:sz="0" w:space="0" w:color="auto"/>
            <w:left w:val="none" w:sz="0" w:space="0" w:color="auto"/>
            <w:bottom w:val="none" w:sz="0" w:space="0" w:color="auto"/>
            <w:right w:val="none" w:sz="0" w:space="0" w:color="auto"/>
          </w:divBdr>
        </w:div>
        <w:div w:id="1905211740">
          <w:marLeft w:val="0"/>
          <w:marRight w:val="0"/>
          <w:marTop w:val="75"/>
          <w:marBottom w:val="75"/>
          <w:divBdr>
            <w:top w:val="none" w:sz="0" w:space="0" w:color="auto"/>
            <w:left w:val="none" w:sz="0" w:space="0" w:color="auto"/>
            <w:bottom w:val="none" w:sz="0" w:space="0" w:color="auto"/>
            <w:right w:val="none" w:sz="0" w:space="0" w:color="auto"/>
          </w:divBdr>
        </w:div>
      </w:divsChild>
    </w:div>
    <w:div w:id="1087773401">
      <w:bodyDiv w:val="1"/>
      <w:marLeft w:val="0"/>
      <w:marRight w:val="0"/>
      <w:marTop w:val="0"/>
      <w:marBottom w:val="0"/>
      <w:divBdr>
        <w:top w:val="none" w:sz="0" w:space="0" w:color="auto"/>
        <w:left w:val="none" w:sz="0" w:space="0" w:color="auto"/>
        <w:bottom w:val="none" w:sz="0" w:space="0" w:color="auto"/>
        <w:right w:val="none" w:sz="0" w:space="0" w:color="auto"/>
      </w:divBdr>
    </w:div>
    <w:div w:id="1171946785">
      <w:bodyDiv w:val="1"/>
      <w:marLeft w:val="0"/>
      <w:marRight w:val="0"/>
      <w:marTop w:val="0"/>
      <w:marBottom w:val="0"/>
      <w:divBdr>
        <w:top w:val="none" w:sz="0" w:space="0" w:color="auto"/>
        <w:left w:val="none" w:sz="0" w:space="0" w:color="auto"/>
        <w:bottom w:val="none" w:sz="0" w:space="0" w:color="auto"/>
        <w:right w:val="none" w:sz="0" w:space="0" w:color="auto"/>
      </w:divBdr>
    </w:div>
    <w:div w:id="1174108873">
      <w:bodyDiv w:val="1"/>
      <w:marLeft w:val="0"/>
      <w:marRight w:val="0"/>
      <w:marTop w:val="0"/>
      <w:marBottom w:val="0"/>
      <w:divBdr>
        <w:top w:val="none" w:sz="0" w:space="0" w:color="auto"/>
        <w:left w:val="none" w:sz="0" w:space="0" w:color="auto"/>
        <w:bottom w:val="none" w:sz="0" w:space="0" w:color="auto"/>
        <w:right w:val="none" w:sz="0" w:space="0" w:color="auto"/>
      </w:divBdr>
      <w:divsChild>
        <w:div w:id="1102871490">
          <w:marLeft w:val="0"/>
          <w:marRight w:val="0"/>
          <w:marTop w:val="75"/>
          <w:marBottom w:val="75"/>
          <w:divBdr>
            <w:top w:val="none" w:sz="0" w:space="0" w:color="auto"/>
            <w:left w:val="none" w:sz="0" w:space="0" w:color="auto"/>
            <w:bottom w:val="none" w:sz="0" w:space="0" w:color="auto"/>
            <w:right w:val="none" w:sz="0" w:space="0" w:color="auto"/>
          </w:divBdr>
        </w:div>
        <w:div w:id="1880971021">
          <w:marLeft w:val="0"/>
          <w:marRight w:val="0"/>
          <w:marTop w:val="75"/>
          <w:marBottom w:val="75"/>
          <w:divBdr>
            <w:top w:val="none" w:sz="0" w:space="0" w:color="auto"/>
            <w:left w:val="none" w:sz="0" w:space="0" w:color="auto"/>
            <w:bottom w:val="none" w:sz="0" w:space="0" w:color="auto"/>
            <w:right w:val="none" w:sz="0" w:space="0" w:color="auto"/>
          </w:divBdr>
        </w:div>
        <w:div w:id="865798142">
          <w:marLeft w:val="0"/>
          <w:marRight w:val="0"/>
          <w:marTop w:val="75"/>
          <w:marBottom w:val="75"/>
          <w:divBdr>
            <w:top w:val="none" w:sz="0" w:space="0" w:color="auto"/>
            <w:left w:val="none" w:sz="0" w:space="0" w:color="auto"/>
            <w:bottom w:val="none" w:sz="0" w:space="0" w:color="auto"/>
            <w:right w:val="none" w:sz="0" w:space="0" w:color="auto"/>
          </w:divBdr>
        </w:div>
        <w:div w:id="888758282">
          <w:marLeft w:val="0"/>
          <w:marRight w:val="0"/>
          <w:marTop w:val="75"/>
          <w:marBottom w:val="75"/>
          <w:divBdr>
            <w:top w:val="none" w:sz="0" w:space="0" w:color="auto"/>
            <w:left w:val="none" w:sz="0" w:space="0" w:color="auto"/>
            <w:bottom w:val="none" w:sz="0" w:space="0" w:color="auto"/>
            <w:right w:val="none" w:sz="0" w:space="0" w:color="auto"/>
          </w:divBdr>
        </w:div>
        <w:div w:id="112557393">
          <w:marLeft w:val="0"/>
          <w:marRight w:val="0"/>
          <w:marTop w:val="75"/>
          <w:marBottom w:val="75"/>
          <w:divBdr>
            <w:top w:val="none" w:sz="0" w:space="0" w:color="auto"/>
            <w:left w:val="none" w:sz="0" w:space="0" w:color="auto"/>
            <w:bottom w:val="none" w:sz="0" w:space="0" w:color="auto"/>
            <w:right w:val="none" w:sz="0" w:space="0" w:color="auto"/>
          </w:divBdr>
        </w:div>
        <w:div w:id="711464329">
          <w:marLeft w:val="0"/>
          <w:marRight w:val="0"/>
          <w:marTop w:val="75"/>
          <w:marBottom w:val="75"/>
          <w:divBdr>
            <w:top w:val="none" w:sz="0" w:space="0" w:color="auto"/>
            <w:left w:val="none" w:sz="0" w:space="0" w:color="auto"/>
            <w:bottom w:val="none" w:sz="0" w:space="0" w:color="auto"/>
            <w:right w:val="none" w:sz="0" w:space="0" w:color="auto"/>
          </w:divBdr>
        </w:div>
        <w:div w:id="690768549">
          <w:marLeft w:val="0"/>
          <w:marRight w:val="0"/>
          <w:marTop w:val="75"/>
          <w:marBottom w:val="75"/>
          <w:divBdr>
            <w:top w:val="none" w:sz="0" w:space="0" w:color="auto"/>
            <w:left w:val="none" w:sz="0" w:space="0" w:color="auto"/>
            <w:bottom w:val="none" w:sz="0" w:space="0" w:color="auto"/>
            <w:right w:val="none" w:sz="0" w:space="0" w:color="auto"/>
          </w:divBdr>
        </w:div>
        <w:div w:id="891037993">
          <w:marLeft w:val="0"/>
          <w:marRight w:val="0"/>
          <w:marTop w:val="75"/>
          <w:marBottom w:val="75"/>
          <w:divBdr>
            <w:top w:val="none" w:sz="0" w:space="0" w:color="auto"/>
            <w:left w:val="none" w:sz="0" w:space="0" w:color="auto"/>
            <w:bottom w:val="none" w:sz="0" w:space="0" w:color="auto"/>
            <w:right w:val="none" w:sz="0" w:space="0" w:color="auto"/>
          </w:divBdr>
        </w:div>
        <w:div w:id="591282689">
          <w:marLeft w:val="0"/>
          <w:marRight w:val="0"/>
          <w:marTop w:val="75"/>
          <w:marBottom w:val="75"/>
          <w:divBdr>
            <w:top w:val="none" w:sz="0" w:space="0" w:color="auto"/>
            <w:left w:val="none" w:sz="0" w:space="0" w:color="auto"/>
            <w:bottom w:val="none" w:sz="0" w:space="0" w:color="auto"/>
            <w:right w:val="none" w:sz="0" w:space="0" w:color="auto"/>
          </w:divBdr>
        </w:div>
        <w:div w:id="892425880">
          <w:marLeft w:val="0"/>
          <w:marRight w:val="0"/>
          <w:marTop w:val="75"/>
          <w:marBottom w:val="75"/>
          <w:divBdr>
            <w:top w:val="none" w:sz="0" w:space="0" w:color="auto"/>
            <w:left w:val="none" w:sz="0" w:space="0" w:color="auto"/>
            <w:bottom w:val="none" w:sz="0" w:space="0" w:color="auto"/>
            <w:right w:val="none" w:sz="0" w:space="0" w:color="auto"/>
          </w:divBdr>
        </w:div>
        <w:div w:id="33889153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813</Characters>
  <Application>Microsoft Office Word</Application>
  <DocSecurity>0</DocSecurity>
  <Lines>27</Lines>
  <Paragraphs>8</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1</cp:revision>
  <dcterms:created xsi:type="dcterms:W3CDTF">2025-06-18T13:54:00Z</dcterms:created>
  <dcterms:modified xsi:type="dcterms:W3CDTF">2025-06-18T13:56:00Z</dcterms:modified>
</cp:coreProperties>
</file>